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  <w:t>报送材料清单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认定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报告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 xml:space="preserve"> 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2. 认定结果公示无异议证明材</w:t>
      </w:r>
      <w:bookmarkStart w:id="0" w:name="_GoBack"/>
      <w:bookmarkEnd w:id="0"/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料1份；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/>
          <w:color w:val="auto"/>
          <w:sz w:val="32"/>
          <w:szCs w:val="32"/>
        </w:rPr>
        <w:t>安徽省高等职业院校“双师型”教师认定情况一览表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纸质版1份，同时提交电子版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/>
          <w:color w:val="auto"/>
          <w:sz w:val="32"/>
          <w:szCs w:val="32"/>
        </w:rPr>
        <w:t>安徽省高等职业院校“双师型”教师认定申请表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纸质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版2份，同时提交电子版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符合认定范围和认定条件的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个人申报支撑材料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465BD"/>
    <w:rsid w:val="12E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2019-11-21T07:39:00Z</dcterms:created>
  <dc:creator>河畔青芜堤上柳</dc:creator>
  <cp:lastModifiedBy>河畔青芜堤上柳</cp:lastModifiedBy>
  <dcterms:modified xsi:type="dcterms:W3CDTF">2019-11-21T07:40:43Z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